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9"/>
        <w:ind w:firstLine="0"/>
        <w:spacing w:line="216" w:lineRule="auto"/>
        <w:rPr>
          <w:sz w:val="27"/>
          <w:szCs w:val="27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9347" cy="657329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743302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39346" cy="657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2.47pt;height:51.76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center"/>
        <w:spacing w:line="216" w:lineRule="auto"/>
        <w:rPr>
          <w:b/>
          <w:bCs/>
          <w:sz w:val="27"/>
          <w:szCs w:val="27"/>
          <w:lang w:val="en-US"/>
        </w:rPr>
      </w:pPr>
      <w:r>
        <w:rPr>
          <w:b/>
          <w:bCs/>
          <w:sz w:val="27"/>
          <w:szCs w:val="27"/>
          <w:lang w:val="en-US"/>
        </w:rPr>
      </w:r>
      <w:r>
        <w:rPr>
          <w:b/>
          <w:bCs/>
          <w:sz w:val="27"/>
          <w:szCs w:val="27"/>
          <w:lang w:val="en-US"/>
        </w:rPr>
      </w:r>
      <w:r>
        <w:rPr>
          <w:b/>
          <w:bCs/>
          <w:sz w:val="27"/>
          <w:szCs w:val="27"/>
          <w:lang w:val="en-US"/>
        </w:rPr>
      </w:r>
    </w:p>
    <w:p>
      <w:pPr>
        <w:jc w:val="center"/>
        <w:spacing w:line="216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МИНИСТЕРСТВО ФИНАНСОВ И НАЛОГОВОЙ ПОЛИТИКИ НОВОСИБИРСКОЙ ОБЛАСТИ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jc w:val="center"/>
        <w:spacing w:line="216" w:lineRule="auto"/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jc w:val="center"/>
        <w:spacing w:line="216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ПОЯСНИТЕЛЬНАЯ ЗАПИСКА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jc w:val="center"/>
        <w:spacing w:line="216" w:lineRule="auto"/>
        <w:rPr>
          <w:b/>
          <w:color w:val="000000"/>
          <w:szCs w:val="28"/>
        </w:rPr>
      </w:pPr>
      <w:r>
        <w:rPr>
          <w:b/>
          <w:bCs/>
          <w:szCs w:val="28"/>
        </w:rPr>
        <w:t xml:space="preserve">к проекту закона Новосибирской </w:t>
      </w:r>
      <w:r>
        <w:rPr>
          <w:b/>
          <w:bCs/>
          <w:color w:val="000000"/>
          <w:szCs w:val="28"/>
        </w:rPr>
        <w:t xml:space="preserve">области «</w:t>
      </w:r>
      <w:r>
        <w:rPr>
          <w:b/>
          <w:color w:val="000000"/>
          <w:szCs w:val="28"/>
        </w:rPr>
        <w:t xml:space="preserve">О признании утратившей силу главы 3 Закона Новосибирской области «О налогах и особенностях налогообложения отдельных категорий налогоплательщиков</w:t>
      </w:r>
      <w:r>
        <w:rPr>
          <w:b/>
          <w:color w:val="000000"/>
          <w:szCs w:val="28"/>
        </w:rPr>
        <w:br/>
        <w:t xml:space="preserve">в Новосибирской области</w:t>
      </w:r>
      <w:r>
        <w:rPr>
          <w:b/>
          <w:bCs/>
          <w:color w:val="000000"/>
          <w:szCs w:val="28"/>
        </w:rPr>
        <w:t xml:space="preserve">»</w:t>
      </w:r>
      <w:r>
        <w:rPr>
          <w:b/>
          <w:color w:val="000000"/>
          <w:szCs w:val="28"/>
        </w:rPr>
      </w:r>
      <w:r>
        <w:rPr>
          <w:b/>
          <w:color w:val="000000"/>
          <w:szCs w:val="28"/>
        </w:rPr>
      </w:r>
    </w:p>
    <w:p>
      <w:pPr>
        <w:pStyle w:val="889"/>
        <w:keepNext w:val="0"/>
        <w:spacing w:line="216" w:lineRule="auto"/>
        <w:rPr>
          <w:sz w:val="27"/>
          <w:szCs w:val="27"/>
        </w:rPr>
        <w:outlineLvl w:val="9"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709"/>
        <w:jc w:val="both"/>
        <w:widowControl w:val="off"/>
        <w:rPr>
          <w:color w:val="000000"/>
          <w:szCs w:val="28"/>
        </w:rPr>
      </w:pPr>
      <w:r>
        <w:rPr>
          <w:color w:val="000000"/>
          <w:szCs w:val="28"/>
        </w:rPr>
        <w:t xml:space="preserve">Проект закона Новосибирской области «О признании утратившей силу главы 3 Закона Ново</w:t>
      </w:r>
      <w:r>
        <w:rPr>
          <w:color w:val="000000"/>
          <w:szCs w:val="28"/>
        </w:rPr>
        <w:t xml:space="preserve">сибирской области «О налогах и особенностях налогообложения отдельных категорий налогоплательщиков в Новосибирской области» (далее – проект закона) разработан в целях приведения Закона Новосибирской области от 16.10.2003 </w:t>
      </w:r>
      <w:r>
        <w:rPr>
          <w:color w:val="000000"/>
          <w:szCs w:val="28"/>
        </w:rPr>
        <w:t xml:space="preserve">№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142-ОЗ «О налогах и особенностях </w:t>
      </w:r>
      <w:r>
        <w:rPr>
          <w:color w:val="000000"/>
          <w:szCs w:val="28"/>
        </w:rPr>
        <w:t xml:space="preserve">налогооб</w:t>
      </w:r>
      <w:r>
        <w:rPr>
          <w:color w:val="000000"/>
          <w:szCs w:val="28"/>
        </w:rPr>
        <w:t xml:space="preserve">ложения отдельных категорий налогоплательщиков в Новосибирской области» (далее – Закон </w:t>
      </w:r>
      <w:r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№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142-ОЗ) в соответствие с </w:t>
      </w:r>
      <w:r>
        <w:rPr>
          <w:color w:val="000000"/>
          <w:szCs w:val="28"/>
        </w:rPr>
        <w:t xml:space="preserve">Федеральным законом от 28.11.2025 </w:t>
      </w:r>
      <w:r>
        <w:rPr>
          <w:color w:val="000000"/>
          <w:szCs w:val="28"/>
        </w:rPr>
        <w:t xml:space="preserve">№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425-ФЗ «</w:t>
      </w:r>
      <w:r>
        <w:rPr>
          <w:color w:val="000000"/>
          <w:szCs w:val="28"/>
        </w:rPr>
        <w:t xml:space="preserve">О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</w:rPr>
        <w:t xml:space="preserve">внесении изменений в час</w:t>
      </w:r>
      <w:r>
        <w:rPr>
          <w:color w:val="000000"/>
          <w:szCs w:val="28"/>
        </w:rPr>
        <w:t xml:space="preserve">ти перву</w:t>
      </w:r>
      <w:r>
        <w:rPr>
          <w:color w:val="000000"/>
          <w:szCs w:val="28"/>
        </w:rPr>
        <w:t xml:space="preserve">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</w:t>
      </w:r>
      <w:r>
        <w:rPr>
          <w:color w:val="000000"/>
          <w:szCs w:val="28"/>
        </w:rPr>
        <w:t xml:space="preserve"> (далее – Федеральный закон № 425-ФЗ)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88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Федеральный закон № </w:t>
      </w:r>
      <w:r>
        <w:rPr>
          <w:rFonts w:ascii="Times New Roman" w:hAnsi="Times New Roman"/>
          <w:color w:val="000000"/>
          <w:sz w:val="28"/>
          <w:szCs w:val="28"/>
        </w:rPr>
        <w:t xml:space="preserve">425-ФЗ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пред</w:t>
      </w:r>
      <w:r>
        <w:rPr>
          <w:rFonts w:ascii="Times New Roman" w:hAnsi="Times New Roman"/>
          <w:color w:val="000000"/>
          <w:sz w:val="28"/>
          <w:szCs w:val="28"/>
        </w:rPr>
        <w:t xml:space="preserve">усматривае</w:t>
      </w:r>
      <w:r>
        <w:rPr>
          <w:rFonts w:ascii="Times New Roman" w:hAnsi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</w:rPr>
        <w:t xml:space="preserve">переход с 01.01.2026 налога на игорный бизнес из состава региональных налогов в состав федеральных налогов, а также </w:t>
      </w:r>
      <w:r>
        <w:rPr>
          <w:rFonts w:ascii="Times New Roman" w:hAnsi="Times New Roman"/>
          <w:color w:val="000000"/>
          <w:sz w:val="28"/>
          <w:szCs w:val="28"/>
        </w:rPr>
        <w:t xml:space="preserve">признание </w:t>
      </w:r>
      <w:r>
        <w:rPr>
          <w:rFonts w:ascii="Times New Roman" w:hAnsi="Times New Roman"/>
          <w:color w:val="000000"/>
          <w:sz w:val="28"/>
          <w:szCs w:val="28"/>
        </w:rPr>
        <w:t xml:space="preserve">утрат</w:t>
      </w:r>
      <w:r>
        <w:rPr>
          <w:rFonts w:ascii="Times New Roman" w:hAnsi="Times New Roman"/>
          <w:color w:val="000000"/>
          <w:sz w:val="28"/>
          <w:szCs w:val="28"/>
        </w:rPr>
        <w:t xml:space="preserve">ившей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сил</w:t>
      </w:r>
      <w:r>
        <w:rPr>
          <w:rFonts w:ascii="Times New Roman" w:hAnsi="Times New Roman"/>
          <w:color w:val="000000"/>
          <w:sz w:val="28"/>
          <w:szCs w:val="28"/>
        </w:rPr>
        <w:t xml:space="preserve"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главы </w:t>
      </w:r>
      <w:r>
        <w:rPr>
          <w:rFonts w:ascii="Times New Roman" w:hAnsi="Times New Roman"/>
          <w:color w:val="000000"/>
          <w:sz w:val="28"/>
          <w:szCs w:val="28"/>
        </w:rPr>
        <w:t xml:space="preserve">29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Налогового кодекса Российской Федерации, которой </w:t>
      </w:r>
      <w:r>
        <w:rPr>
          <w:rFonts w:ascii="Times New Roman" w:hAnsi="Times New Roman"/>
          <w:color w:val="000000"/>
          <w:sz w:val="28"/>
          <w:szCs w:val="28"/>
        </w:rPr>
        <w:t xml:space="preserve">был </w:t>
      </w:r>
      <w:r>
        <w:rPr>
          <w:rFonts w:ascii="Times New Roman" w:hAnsi="Times New Roman"/>
          <w:color w:val="000000"/>
          <w:sz w:val="28"/>
          <w:szCs w:val="28"/>
        </w:rPr>
        <w:t xml:space="preserve">регламентирова</w:t>
      </w:r>
      <w:r>
        <w:rPr>
          <w:rFonts w:ascii="Times New Roman" w:hAnsi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порядок налогоо</w:t>
      </w:r>
      <w:r>
        <w:rPr>
          <w:rFonts w:ascii="Times New Roman" w:hAnsi="Times New Roman"/>
          <w:color w:val="000000"/>
          <w:sz w:val="28"/>
          <w:szCs w:val="28"/>
        </w:rPr>
        <w:t xml:space="preserve">бложения игорного бизнеса. В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соответствии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z w:val="28"/>
          <w:szCs w:val="28"/>
        </w:rPr>
        <w:t xml:space="preserve">част</w:t>
      </w:r>
      <w:r>
        <w:rPr>
          <w:rFonts w:ascii="Times New Roman" w:hAnsi="Times New Roman"/>
          <w:color w:val="000000"/>
          <w:sz w:val="28"/>
          <w:szCs w:val="28"/>
        </w:rPr>
        <w:t xml:space="preserve">ью</w:t>
      </w:r>
      <w:r>
        <w:rPr>
          <w:rFonts w:ascii="Times New Roman" w:hAnsi="Times New Roman"/>
          <w:color w:val="000000"/>
          <w:sz w:val="28"/>
          <w:szCs w:val="28"/>
        </w:rPr>
        <w:t xml:space="preserve"> 34 статьи 25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Федерального закона № 425-ФЗ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объекты налогообложения по налогу на игорный бизнес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ранее зарегистрированные </w:t>
      </w:r>
      <w:r>
        <w:rPr>
          <w:rFonts w:ascii="Times New Roman" w:hAnsi="Times New Roman"/>
          <w:color w:val="000000"/>
          <w:sz w:val="28"/>
          <w:szCs w:val="28"/>
        </w:rPr>
        <w:t xml:space="preserve">на основании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норм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главы 29 Налогового кодекса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с 01.01.2026 считаются закрытыми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Принимая во внимание указанные </w:t>
      </w:r>
      <w:r>
        <w:rPr>
          <w:rFonts w:ascii="Times New Roman" w:hAnsi="Times New Roman"/>
          <w:color w:val="000000"/>
          <w:sz w:val="28"/>
          <w:szCs w:val="28"/>
        </w:rPr>
        <w:t xml:space="preserve">изменения,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закона </w:t>
      </w:r>
      <w:r>
        <w:rPr>
          <w:rFonts w:ascii="Times New Roman" w:hAnsi="Times New Roman"/>
          <w:color w:val="000000"/>
          <w:sz w:val="28"/>
          <w:szCs w:val="28"/>
        </w:rPr>
        <w:t xml:space="preserve">предлагается признать утратившей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сил</w:t>
      </w:r>
      <w:r>
        <w:rPr>
          <w:rFonts w:ascii="Times New Roman" w:hAnsi="Times New Roman"/>
          <w:color w:val="000000"/>
          <w:sz w:val="28"/>
          <w:szCs w:val="28"/>
        </w:rPr>
        <w:t xml:space="preserve"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глав</w:t>
      </w:r>
      <w:r>
        <w:rPr>
          <w:rFonts w:ascii="Times New Roman" w:hAnsi="Times New Roman"/>
          <w:color w:val="000000"/>
          <w:sz w:val="28"/>
          <w:szCs w:val="28"/>
        </w:rPr>
        <w:t xml:space="preserve"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3 Закона </w:t>
      </w:r>
      <w:r>
        <w:rPr>
          <w:rFonts w:ascii="Times New Roman" w:hAnsi="Times New Roman"/>
          <w:color w:val="000000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z w:val="28"/>
          <w:szCs w:val="28"/>
        </w:rPr>
        <w:t xml:space="preserve"> </w:t>
      </w:r>
      <w:r>
        <w:rPr>
          <w:rFonts w:ascii="Times New Roman" w:hAnsi="Times New Roman"/>
          <w:color w:val="000000"/>
          <w:sz w:val="28"/>
          <w:szCs w:val="28"/>
        </w:rPr>
        <w:t xml:space="preserve">142-ОЗ, устанавливающей ставки налога на игорный бизнес на территории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</w:rPr>
        <w:t xml:space="preserve">учитывая, что </w:t>
      </w:r>
      <w:r>
        <w:rPr>
          <w:rFonts w:ascii="Times New Roman" w:hAnsi="Times New Roman"/>
          <w:color w:val="000000"/>
          <w:sz w:val="28"/>
          <w:szCs w:val="28"/>
        </w:rPr>
        <w:t xml:space="preserve">пункты приема ставок тотализаторов и букмекерских контор </w:t>
      </w:r>
      <w:r>
        <w:rPr>
          <w:rFonts w:ascii="Times New Roman" w:hAnsi="Times New Roman"/>
          <w:color w:val="000000"/>
          <w:sz w:val="28"/>
          <w:szCs w:val="28"/>
        </w:rPr>
        <w:t xml:space="preserve">на территории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с 01.01.2026 считаются закрытыми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>
        <w:rPr>
          <w:rFonts w:ascii="Times New Roman" w:hAnsi="Times New Roman"/>
          <w:color w:val="000000"/>
          <w:sz w:val="28"/>
          <w:szCs w:val="28"/>
        </w:rPr>
        <w:t xml:space="preserve">распространить действие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указанны</w:t>
      </w:r>
      <w:r>
        <w:rPr>
          <w:rFonts w:ascii="Times New Roman" w:hAnsi="Times New Roman"/>
          <w:color w:val="000000"/>
          <w:sz w:val="28"/>
          <w:szCs w:val="28"/>
        </w:rPr>
        <w:t xml:space="preserve">х</w:t>
      </w:r>
      <w:r>
        <w:rPr>
          <w:rFonts w:ascii="Times New Roman" w:hAnsi="Times New Roman"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/>
          <w:color w:val="000000"/>
          <w:sz w:val="28"/>
          <w:szCs w:val="28"/>
        </w:rPr>
        <w:t xml:space="preserve">й с 01.01.2026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bookmarkStart w:id="205" w:name="_GoBack"/>
      <w:r/>
      <w:bookmarkEnd w:id="205"/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Проект закона состоит из двух статей. Статьей 1 вносятся соответствующие изменения, с</w:t>
      </w:r>
      <w:r>
        <w:rPr>
          <w:rFonts w:ascii="Times New Roman" w:hAnsi="Times New Roman"/>
          <w:color w:val="000000"/>
          <w:sz w:val="28"/>
          <w:szCs w:val="28"/>
        </w:rPr>
        <w:t xml:space="preserve">татьей 2 устанавливается порядок вступления закона в силу.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нормативными правовыми актами Новосибирской области обязательные требования, связанные с осуществ</w:t>
      </w:r>
      <w:r>
        <w:rPr>
          <w:rFonts w:ascii="Times New Roman" w:hAnsi="Times New Roman"/>
          <w:color w:val="000000"/>
          <w:sz w:val="28"/>
          <w:szCs w:val="28"/>
        </w:rPr>
        <w:t xml:space="preserve">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в административной ответственности, предоставления лицензий и иных разрешений, аккредитации, оце</w:t>
      </w:r>
      <w:r>
        <w:rPr>
          <w:rFonts w:ascii="Times New Roman" w:hAnsi="Times New Roman"/>
          <w:color w:val="000000"/>
          <w:sz w:val="28"/>
          <w:szCs w:val="28"/>
        </w:rPr>
        <w:t xml:space="preserve">нки соответствия продукции, иных форм оценок и экспертиз, устанавливающих новые или изменяющих ранее предусмотренные нормативными правовыми актами Новосибирской области обязанности и запреты для субъектов предпринимательской и инвестиционной деятельности, а</w:t>
      </w:r>
      <w:r>
        <w:rPr>
          <w:rFonts w:ascii="Times New Roman" w:hAnsi="Times New Roman"/>
          <w:color w:val="000000"/>
          <w:sz w:val="28"/>
          <w:szCs w:val="28"/>
        </w:rPr>
        <w:t xml:space="preserve"> также устанавливающих или изменяющих ответственность за нарушение нормативных правовых актов Новосибирской области, затрагивающих вопросы осуществления предпринимательской и иной экономической деятельности.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Заместитель Председателя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Правительства Новосибирской области –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ind w:firstLine="0"/>
        <w:jc w:val="both"/>
        <w:tabs>
          <w:tab w:val="left" w:pos="7938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министр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В.Ю. Голубенко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sectPr>
      <w:headerReference w:type="default" r:id="rId9"/>
      <w:footerReference w:type="default" r:id="rId10"/>
      <w:footnotePr/>
      <w:endnotePr/>
      <w:type w:val="nextPage"/>
      <w:pgSz w:w="11907" w:h="16840" w:orient="portrait"/>
      <w:pgMar w:top="567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ind w:firstLine="0"/>
      <w:jc w:val="both"/>
      <w:tabs>
        <w:tab w:val="left" w:pos="7938" w:leader="none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</w:r>
    <w:r>
      <w:rPr>
        <w:rFonts w:ascii="Times New Roman" w:hAnsi="Times New Roman"/>
        <w:sz w:val="20"/>
      </w:rPr>
    </w:r>
    <w:r>
      <w:rPr>
        <w:rFonts w:ascii="Times New Roman" w:hAnsi="Times New Roman"/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7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 \* MERGEFORMAT</w:instrText>
    </w:r>
    <w:r>
      <w:rPr>
        <w:sz w:val="20"/>
      </w:rPr>
      <w:fldChar w:fldCharType="separate"/>
    </w:r>
    <w:r>
      <w:rPr>
        <w:sz w:val="20"/>
      </w:rPr>
      <w:t xml:space="preserve">2</w:t>
    </w:r>
    <w:r>
      <w:rPr>
        <w:sz w:val="20"/>
      </w:rPr>
      <w:fldChar w:fldCharType="end"/>
    </w:r>
    <w:r>
      <w:rPr>
        <w:sz w:val="20"/>
      </w:rPr>
    </w:r>
    <w:r>
      <w:rPr>
        <w:sz w:val="20"/>
      </w:rPr>
    </w:r>
  </w:p>
  <w:p>
    <w:pPr>
      <w:pStyle w:val="737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9" w:default="1">
    <w:name w:val="Normal"/>
    <w:qFormat/>
    <w:rPr>
      <w:sz w:val="28"/>
      <w:lang w:eastAsia="ru-RU"/>
    </w:rPr>
  </w:style>
  <w:style w:type="paragraph" w:styleId="690">
    <w:name w:val="Heading 1"/>
    <w:basedOn w:val="689"/>
    <w:next w:val="689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1">
    <w:name w:val="Heading 2"/>
    <w:basedOn w:val="689"/>
    <w:next w:val="689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7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9"/>
    <w:next w:val="689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9"/>
    <w:next w:val="689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9"/>
    <w:next w:val="689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Heading 1 Char"/>
    <w:basedOn w:val="699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Heading 2 Char"/>
    <w:basedOn w:val="699"/>
    <w:uiPriority w:val="9"/>
    <w:rPr>
      <w:rFonts w:ascii="Arial" w:hAnsi="Arial" w:eastAsia="Arial" w:cs="Arial"/>
      <w:sz w:val="34"/>
    </w:rPr>
  </w:style>
  <w:style w:type="character" w:styleId="704" w:customStyle="1">
    <w:name w:val="Heading 3 Char"/>
    <w:basedOn w:val="699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699"/>
    <w:uiPriority w:val="10"/>
    <w:rPr>
      <w:sz w:val="48"/>
      <w:szCs w:val="48"/>
    </w:rPr>
  </w:style>
  <w:style w:type="character" w:styleId="712" w:customStyle="1">
    <w:name w:val="Subtitle Char"/>
    <w:basedOn w:val="699"/>
    <w:uiPriority w:val="11"/>
    <w:rPr>
      <w:sz w:val="24"/>
      <w:szCs w:val="24"/>
    </w:rPr>
  </w:style>
  <w:style w:type="character" w:styleId="713" w:customStyle="1">
    <w:name w:val="Quote Char"/>
    <w:uiPriority w:val="29"/>
    <w:rPr>
      <w:i/>
    </w:rPr>
  </w:style>
  <w:style w:type="character" w:styleId="714" w:customStyle="1">
    <w:name w:val="Intense Quote Char"/>
    <w:uiPriority w:val="30"/>
    <w:rPr>
      <w:i/>
    </w:rPr>
  </w:style>
  <w:style w:type="character" w:styleId="715" w:customStyle="1">
    <w:name w:val="Caption Char"/>
    <w:basedOn w:val="699"/>
    <w:uiPriority w:val="35"/>
    <w:rPr>
      <w:b/>
      <w:bCs/>
      <w:color w:val="4f81bd" w:themeColor="accent1"/>
      <w:sz w:val="18"/>
      <w:szCs w:val="18"/>
    </w:rPr>
  </w:style>
  <w:style w:type="character" w:styleId="716" w:customStyle="1">
    <w:name w:val="Footnote Text Char"/>
    <w:uiPriority w:val="99"/>
    <w:rPr>
      <w:sz w:val="18"/>
    </w:rPr>
  </w:style>
  <w:style w:type="character" w:styleId="717" w:customStyle="1">
    <w:name w:val="Endnote Text Char"/>
    <w:uiPriority w:val="99"/>
    <w:rPr>
      <w:sz w:val="20"/>
    </w:rPr>
  </w:style>
  <w:style w:type="character" w:styleId="718" w:customStyle="1">
    <w:name w:val="Заголовок 1 Знак"/>
    <w:link w:val="690"/>
    <w:uiPriority w:val="9"/>
    <w:rPr>
      <w:rFonts w:ascii="Arial" w:hAnsi="Arial" w:eastAsia="Arial" w:cs="Arial"/>
      <w:sz w:val="40"/>
      <w:szCs w:val="40"/>
    </w:rPr>
  </w:style>
  <w:style w:type="character" w:styleId="719" w:customStyle="1">
    <w:name w:val="Заголовок 2 Знак"/>
    <w:link w:val="691"/>
    <w:uiPriority w:val="9"/>
    <w:rPr>
      <w:rFonts w:ascii="Arial" w:hAnsi="Arial" w:eastAsia="Arial" w:cs="Arial"/>
      <w:sz w:val="34"/>
    </w:rPr>
  </w:style>
  <w:style w:type="character" w:styleId="720" w:customStyle="1">
    <w:name w:val="Заголовок 3 Знак"/>
    <w:link w:val="692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Заголовок 4 Знак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Заголовок 5 Знак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Заголовок 6 Знак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List Paragraph"/>
    <w:basedOn w:val="689"/>
    <w:uiPriority w:val="34"/>
    <w:qFormat/>
    <w:pPr>
      <w:contextualSpacing/>
      <w:ind w:left="720"/>
    </w:pPr>
  </w:style>
  <w:style w:type="paragraph" w:styleId="728">
    <w:name w:val="No Spacing"/>
    <w:uiPriority w:val="1"/>
    <w:qFormat/>
  </w:style>
  <w:style w:type="paragraph" w:styleId="729">
    <w:name w:val="Title"/>
    <w:basedOn w:val="689"/>
    <w:next w:val="689"/>
    <w:link w:val="7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0" w:customStyle="1">
    <w:name w:val="Заголовок Знак"/>
    <w:link w:val="729"/>
    <w:uiPriority w:val="10"/>
    <w:rPr>
      <w:sz w:val="48"/>
      <w:szCs w:val="48"/>
    </w:rPr>
  </w:style>
  <w:style w:type="paragraph" w:styleId="731">
    <w:name w:val="Subtitle"/>
    <w:basedOn w:val="689"/>
    <w:next w:val="689"/>
    <w:link w:val="732"/>
    <w:uiPriority w:val="11"/>
    <w:qFormat/>
    <w:pPr>
      <w:spacing w:before="200" w:after="200"/>
    </w:pPr>
    <w:rPr>
      <w:sz w:val="24"/>
      <w:szCs w:val="24"/>
    </w:rPr>
  </w:style>
  <w:style w:type="character" w:styleId="732" w:customStyle="1">
    <w:name w:val="Подзаголовок Знак"/>
    <w:link w:val="731"/>
    <w:uiPriority w:val="11"/>
    <w:rPr>
      <w:sz w:val="24"/>
      <w:szCs w:val="24"/>
    </w:rPr>
  </w:style>
  <w:style w:type="paragraph" w:styleId="733">
    <w:name w:val="Quote"/>
    <w:basedOn w:val="689"/>
    <w:next w:val="689"/>
    <w:link w:val="734"/>
    <w:uiPriority w:val="29"/>
    <w:qFormat/>
    <w:pPr>
      <w:ind w:left="720" w:right="720"/>
    </w:pPr>
    <w:rPr>
      <w:i/>
    </w:rPr>
  </w:style>
  <w:style w:type="character" w:styleId="734" w:customStyle="1">
    <w:name w:val="Цитата 2 Знак"/>
    <w:link w:val="733"/>
    <w:uiPriority w:val="29"/>
    <w:rPr>
      <w:i/>
    </w:rPr>
  </w:style>
  <w:style w:type="paragraph" w:styleId="735">
    <w:name w:val="Intense Quote"/>
    <w:basedOn w:val="689"/>
    <w:next w:val="689"/>
    <w:link w:val="73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 w:customStyle="1">
    <w:name w:val="Выделенная цитата Знак"/>
    <w:link w:val="735"/>
    <w:uiPriority w:val="30"/>
    <w:rPr>
      <w:i/>
    </w:rPr>
  </w:style>
  <w:style w:type="paragraph" w:styleId="737">
    <w:name w:val="Header"/>
    <w:basedOn w:val="689"/>
    <w:link w:val="891"/>
    <w:uiPriority w:val="99"/>
    <w:pPr>
      <w:tabs>
        <w:tab w:val="center" w:pos="4677" w:leader="none"/>
        <w:tab w:val="right" w:pos="9355" w:leader="none"/>
      </w:tabs>
    </w:pPr>
  </w:style>
  <w:style w:type="character" w:styleId="738" w:customStyle="1">
    <w:name w:val="Header Char"/>
    <w:uiPriority w:val="99"/>
  </w:style>
  <w:style w:type="paragraph" w:styleId="739">
    <w:name w:val="Footer"/>
    <w:basedOn w:val="689"/>
    <w:link w:val="892"/>
    <w:pPr>
      <w:tabs>
        <w:tab w:val="center" w:pos="4677" w:leader="none"/>
        <w:tab w:val="right" w:pos="9355" w:leader="none"/>
      </w:tabs>
    </w:pPr>
  </w:style>
  <w:style w:type="character" w:styleId="740" w:customStyle="1">
    <w:name w:val="Footer Char"/>
    <w:uiPriority w:val="99"/>
  </w:style>
  <w:style w:type="paragraph" w:styleId="741">
    <w:name w:val="Caption"/>
    <w:basedOn w:val="689"/>
    <w:next w:val="689"/>
    <w:link w:val="7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2" w:customStyle="1">
    <w:name w:val="Название объекта Знак"/>
    <w:link w:val="741"/>
    <w:uiPriority w:val="35"/>
    <w:rPr>
      <w:b/>
      <w:bCs/>
      <w:color w:val="4f81bd" w:themeColor="accent1"/>
      <w:sz w:val="18"/>
      <w:szCs w:val="18"/>
    </w:rPr>
  </w:style>
  <w:style w:type="table" w:styleId="74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000ff" w:themeColor="hyperlink"/>
      <w:u w:val="single"/>
    </w:rPr>
  </w:style>
  <w:style w:type="paragraph" w:styleId="870">
    <w:name w:val="footnote text"/>
    <w:basedOn w:val="689"/>
    <w:link w:val="871"/>
    <w:uiPriority w:val="99"/>
    <w:semiHidden/>
    <w:unhideWhenUsed/>
    <w:pPr>
      <w:spacing w:after="40"/>
    </w:pPr>
    <w:rPr>
      <w:sz w:val="18"/>
    </w:rPr>
  </w:style>
  <w:style w:type="character" w:styleId="871" w:customStyle="1">
    <w:name w:val="Текст сноски Знак"/>
    <w:link w:val="870"/>
    <w:uiPriority w:val="99"/>
    <w:rPr>
      <w:sz w:val="18"/>
    </w:rPr>
  </w:style>
  <w:style w:type="character" w:styleId="872">
    <w:name w:val="footnote reference"/>
    <w:uiPriority w:val="99"/>
    <w:unhideWhenUsed/>
    <w:rPr>
      <w:vertAlign w:val="superscript"/>
    </w:rPr>
  </w:style>
  <w:style w:type="paragraph" w:styleId="873">
    <w:name w:val="endnote text"/>
    <w:basedOn w:val="689"/>
    <w:link w:val="874"/>
    <w:uiPriority w:val="99"/>
    <w:semiHidden/>
    <w:unhideWhenUsed/>
    <w:rPr>
      <w:sz w:val="20"/>
    </w:rPr>
  </w:style>
  <w:style w:type="character" w:styleId="874" w:customStyle="1">
    <w:name w:val="Текст концевой сноски Знак"/>
    <w:link w:val="873"/>
    <w:uiPriority w:val="99"/>
    <w:rPr>
      <w:sz w:val="20"/>
    </w:rPr>
  </w:style>
  <w:style w:type="character" w:styleId="875">
    <w:name w:val="endnote reference"/>
    <w:uiPriority w:val="99"/>
    <w:semiHidden/>
    <w:unhideWhenUsed/>
    <w:rPr>
      <w:vertAlign w:val="superscript"/>
    </w:rPr>
  </w:style>
  <w:style w:type="paragraph" w:styleId="876">
    <w:name w:val="toc 1"/>
    <w:basedOn w:val="689"/>
    <w:next w:val="689"/>
    <w:uiPriority w:val="39"/>
    <w:unhideWhenUsed/>
    <w:pPr>
      <w:spacing w:after="57"/>
    </w:pPr>
  </w:style>
  <w:style w:type="paragraph" w:styleId="877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78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79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80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81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82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83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84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689"/>
    <w:next w:val="689"/>
    <w:uiPriority w:val="99"/>
    <w:unhideWhenUsed/>
  </w:style>
  <w:style w:type="paragraph" w:styleId="887">
    <w:name w:val="Body Text"/>
    <w:basedOn w:val="689"/>
    <w:pPr>
      <w:jc w:val="center"/>
    </w:pPr>
    <w:rPr>
      <w:b/>
    </w:rPr>
  </w:style>
  <w:style w:type="paragraph" w:styleId="888" w:customStyle="1">
    <w:name w:val="ConsNormal"/>
    <w:uiPriority w:val="99"/>
    <w:pPr>
      <w:ind w:firstLine="720"/>
    </w:pPr>
    <w:rPr>
      <w:rFonts w:ascii="Arial" w:hAnsi="Arial"/>
      <w:sz w:val="22"/>
      <w:lang w:eastAsia="ru-RU"/>
    </w:rPr>
  </w:style>
  <w:style w:type="paragraph" w:styleId="889" w:customStyle="1">
    <w:name w:val="заголовок 2"/>
    <w:basedOn w:val="689"/>
    <w:next w:val="689"/>
    <w:uiPriority w:val="99"/>
    <w:pPr>
      <w:ind w:firstLine="720"/>
      <w:jc w:val="center"/>
      <w:keepNext/>
      <w:outlineLvl w:val="1"/>
    </w:pPr>
    <w:rPr>
      <w:b/>
    </w:rPr>
  </w:style>
  <w:style w:type="paragraph" w:styleId="890">
    <w:name w:val="Body Text Indent 3"/>
    <w:basedOn w:val="689"/>
    <w:pPr>
      <w:ind w:firstLine="600"/>
      <w:jc w:val="center"/>
      <w:spacing w:line="260" w:lineRule="auto"/>
      <w:widowControl w:val="off"/>
    </w:pPr>
  </w:style>
  <w:style w:type="character" w:styleId="891" w:customStyle="1">
    <w:name w:val="Верхний колонтитул Знак"/>
    <w:link w:val="737"/>
    <w:uiPriority w:val="99"/>
    <w:rPr>
      <w:sz w:val="28"/>
    </w:rPr>
  </w:style>
  <w:style w:type="character" w:styleId="892" w:customStyle="1">
    <w:name w:val="Нижний колонтитул Знак"/>
    <w:link w:val="739"/>
    <w:rPr>
      <w:sz w:val="28"/>
    </w:rPr>
  </w:style>
  <w:style w:type="paragraph" w:styleId="893">
    <w:name w:val="Balloon Text"/>
    <w:basedOn w:val="689"/>
    <w:link w:val="894"/>
    <w:rPr>
      <w:rFonts w:ascii="Segoe UI" w:hAnsi="Segoe UI" w:cs="Segoe UI"/>
      <w:sz w:val="18"/>
      <w:szCs w:val="18"/>
    </w:rPr>
  </w:style>
  <w:style w:type="character" w:styleId="894" w:customStyle="1">
    <w:name w:val="Текст выноски Знак"/>
    <w:link w:val="893"/>
    <w:rPr>
      <w:rFonts w:ascii="Segoe UI" w:hAnsi="Segoe UI" w:cs="Segoe UI"/>
      <w:sz w:val="18"/>
      <w:szCs w:val="18"/>
    </w:rPr>
  </w:style>
  <w:style w:type="paragraph" w:styleId="895">
    <w:name w:val="Body Text 2"/>
    <w:basedOn w:val="689"/>
    <w:link w:val="896"/>
    <w:pPr>
      <w:spacing w:after="120" w:line="480" w:lineRule="auto"/>
    </w:pPr>
  </w:style>
  <w:style w:type="character" w:styleId="896" w:customStyle="1">
    <w:name w:val="Основной текст 2 Знак"/>
    <w:link w:val="895"/>
    <w:rPr>
      <w:sz w:val="28"/>
    </w:rPr>
  </w:style>
  <w:style w:type="paragraph" w:styleId="897">
    <w:name w:val="Revision"/>
    <w:hidden/>
    <w:uiPriority w:val="99"/>
    <w:semiHidden/>
    <w:rPr>
      <w:sz w:val="28"/>
      <w:lang w:eastAsia="ru-RU"/>
    </w:rPr>
  </w:style>
  <w:style w:type="character" w:styleId="898">
    <w:name w:val="annotation reference"/>
    <w:rPr>
      <w:sz w:val="16"/>
      <w:szCs w:val="16"/>
    </w:rPr>
  </w:style>
  <w:style w:type="paragraph" w:styleId="899">
    <w:name w:val="annotation text"/>
    <w:basedOn w:val="689"/>
    <w:link w:val="900"/>
    <w:rPr>
      <w:sz w:val="20"/>
    </w:rPr>
  </w:style>
  <w:style w:type="character" w:styleId="900" w:customStyle="1">
    <w:name w:val="Текст примечания Знак"/>
    <w:basedOn w:val="699"/>
    <w:link w:val="899"/>
  </w:style>
  <w:style w:type="paragraph" w:styleId="901">
    <w:name w:val="annotation subject"/>
    <w:basedOn w:val="899"/>
    <w:next w:val="899"/>
    <w:link w:val="902"/>
    <w:rPr>
      <w:b/>
      <w:bCs/>
    </w:rPr>
  </w:style>
  <w:style w:type="character" w:styleId="902" w:customStyle="1">
    <w:name w:val="Тема примечания Знак"/>
    <w:link w:val="901"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emeliyanova_mv@mfnso.local</cp:lastModifiedBy>
  <cp:revision>5</cp:revision>
  <dcterms:created xsi:type="dcterms:W3CDTF">2026-02-05T08:28:00Z</dcterms:created>
  <dcterms:modified xsi:type="dcterms:W3CDTF">2026-02-05T09:32:44Z</dcterms:modified>
  <cp:version>1048576</cp:version>
</cp:coreProperties>
</file>